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26-304</w:t>
      </w:r>
    </w:p>
    <w:p>
      <w:pPr>
        <w:spacing w:before="0" w:after="0" w:line="480"/>
        <w:ind w:left="120"/>
        <w:jc w:val="left"/>
      </w:pPr>
    </w:p>
    <w:p>
      <w:pPr>
        <w:spacing w:before="0" w:after="0" w:line="480"/>
        <w:ind w:left="120"/>
        <w:jc w:val="center"/>
      </w:pPr>
      <w:r>
        <w:rPr>
          <w:rFonts w:ascii="Times New Roman" w:hAnsi="Times New Roman"/>
          <w:b/>
          <w:i w:val="false"/>
          <w:color w:val="000000"/>
          <w:sz w:val="28"/>
        </w:rPr>
        <w:t>ATTORNEY GENERAL[61]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61—Chapter 40</w:t>
      </w:r>
    </w:p>
    <w:p>
      <w:pPr>
        <w:spacing w:before="0" w:after="0" w:line="480"/>
        <w:ind w:left="120"/>
        <w:jc w:val="center"/>
      </w:pPr>
      <w:r>
        <w:rPr>
          <w:rFonts w:ascii="Times New Roman" w:hAnsi="Times New Roman"/>
          <w:b w:val="false"/>
          <w:i w:val="false"/>
          <w:color w:val="000000"/>
          <w:sz w:val="24"/>
        </w:rPr>
        <w:t>“Age Verification for Internet Material Pornographic for Minors”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554J.5</w:t>
      </w:r>
    </w:p>
    <w:p>
      <w:pPr>
        <w:spacing w:before="0" w:after="0" w:line="480"/>
        <w:ind w:left="120"/>
        <w:jc w:val="both"/>
      </w:pPr>
      <w:r>
        <w:rPr>
          <w:rFonts w:ascii="Times New Roman" w:hAnsi="Times New Roman"/>
          <w:b w:val="false"/>
          <w:i w:val="false"/>
          <w:color w:val="000000"/>
          <w:sz w:val="24"/>
        </w:rPr>
        <w:t>State or federal law(s) implemented by the rulemaking: Iowa Code chapter 554J as enacted by 2026 Iowa Acts, House File 864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3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Hoover State Office Building, Second Floor</w:t>
            </w:r>
            <w:r>
              <w:br/>
            </w:r>
            <w:r>
              <w:rPr>
                <w:rFonts w:ascii="Times New Roman" w:hAnsi="Times New Roman"/>
                <w:b w:val="false"/>
                <w:i w:val="false"/>
                <w:color w:val="000000"/>
                <w:sz w:val="14"/>
              </w:rPr>
              <w:t xml:space="preserve">1305 East Walnut Street </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Office of the Attorney General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Dan Breitbarth</w:t>
            </w:r>
            <w:r>
              <w:br/>
            </w:r>
            <w:r>
              <w:rPr>
                <w:rFonts w:ascii="Times New Roman" w:hAnsi="Times New Roman"/>
                <w:b w:val="false"/>
                <w:i w:val="false"/>
                <w:color w:val="000000"/>
                <w:sz w:val="14"/>
              </w:rPr>
              <w:t>Office of the Attorney General of Iowa</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515.281.5164</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dan.breitbarth@ag.iowa.gov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Iowa Code chapter 554J as enacted by 2026 Iowa Acts, House File 864, which requires any person operating an internet site, application, or segment thereof that contains a substantial portion (33 percent or more) of material pornographic for minors to perform reasonable age verification. This rulemaking establishes approved age verification methods (including government digital ID, commercial transactional data, and emerging technologies like facial age estimation), establishes mandatory data privacy and security standards, and outlines enforcement mechanisms and civil penalties administered by the Office of the Attorney General.</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Commercial entities that operate internet sites, mobile applications, or segments of internet sites or applications available in Iowa that host a substantial portion of content pornographic for minors will bear the costs of implementing age verification tools and maintaining compliance with data security and immediate deletion standards.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Minors under 18 years of age in Iowa will benefit from reduced access to pornographic content, and Iowa residents in general will benefit from stringent statutory data privacy and security protections restricting the retention, sale, or lease of personal identifying information.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Covered platforms will incur compliance costs to integrate age verification mechanisms, such as application programming interface (API) integration fees for digital ID or third-party commercial verification, credit card verification transaction fees, or licensing fees for third-party age estimation technologies. Additionally, covered entities face potential civil penalties of up to $1,000 per noncompliant user access session, subject to a maximum cap of $10,000 per single calendar day.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rulemaking enhances consumer privacy by strictly prohibiting the retention, lease, or sale of user identifying information and requiring immediate deletion of collected verification data upon session completion. Platforms must also implement reasonable administrative, technical, and physical safeguards, including encryption protocols and routine vulnerability assessments.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Office of the Attorney General will incur operational costs related to reviewing consumer complaints, issuing Civil Investigative Demands (CIDs), conducting investigations, and initiating civil enforcement actions in district court. The Office of the Attorney General will have to absorb these costs since funds were not appropriated to cover these expenses.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State revenues are anticipated to increase to the extent that civil penalties are assessed and collected for noncompliance because all civil penalties collected under this chapter are required to be deposited into the General Fund of the State.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Iowa Code section 554J.5 and 2026 Iowa Acts, House File 864. Inaction would leave minors unprotected from accessing pornographic content online. The regulatory action clarifies statutory age verification standards, ensures uniform data privacy and deletion requirements, and provides a structured enforcement process. The societal benefits of protecting minors and consumer data privacy outweigh the technical compliance costs imposed on platforms hosting pornographic content.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methods exist that achieve the statutory purpose while ensuring data security and privacy. The rulemaking offers platforms multiple flexible verification methods—ranging from government digital IDs and transactional data checks to emerging third-party technologies—allowing entities to select the method least burdensome to their specific business model.</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There are no plausible alternatives to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Rulemaking is required by Iowa Code section 554J.5 and 2026 Iowa Acts, House File 864.</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xml:space="preserve">    Iowa Code chapter 554J applies uniformly to all commercial entities operating platforms containing a substantial portion of content pornographic for minors regardless of entity size. Lowering verification standards for small businesses would frustrate the statutory goal of preventing minor access to such material. </w:t>
      </w:r>
    </w:p>
    <w:p>
      <w:pPr>
        <w:spacing w:before="0" w:after="0" w:line="480"/>
        <w:ind w:left="120"/>
        <w:jc w:val="both"/>
      </w:pPr>
      <w:r>
        <w:rPr>
          <w:rFonts w:ascii="Times New Roman" w:hAnsi="Times New Roman"/>
          <w:b w:val="false"/>
          <w:i w:val="false"/>
          <w:color w:val="000000"/>
          <w:sz w:val="24"/>
        </w:rPr>
        <w:t xml:space="preserve">    The statutory framework does not provide for tiered compliance schedules based on business size because uniform enforcement is required to protect minors. </w:t>
      </w:r>
    </w:p>
    <w:p>
      <w:pPr>
        <w:spacing w:before="0" w:after="0" w:line="480"/>
        <w:ind w:left="120"/>
        <w:jc w:val="both"/>
      </w:pPr>
      <w:r>
        <w:rPr>
          <w:rFonts w:ascii="Times New Roman" w:hAnsi="Times New Roman"/>
          <w:b w:val="false"/>
          <w:i w:val="false"/>
          <w:color w:val="000000"/>
          <w:sz w:val="24"/>
        </w:rPr>
        <w:t xml:space="preserve">    The rulemaking simplifies compliance by recognizing existing commercial verification options (e.g., credit card verification and third-party databases) and third-party vendor solutions, enabling small businesses to adopt existing off-the-shelf tools rather than building custom infrastructure. </w:t>
      </w:r>
    </w:p>
    <w:p>
      <w:pPr>
        <w:spacing w:before="0" w:after="0" w:line="480"/>
        <w:ind w:left="120"/>
        <w:jc w:val="both"/>
      </w:pPr>
      <w:r>
        <w:rPr>
          <w:rFonts w:ascii="Times New Roman" w:hAnsi="Times New Roman"/>
          <w:b w:val="false"/>
          <w:i w:val="false"/>
          <w:color w:val="000000"/>
          <w:sz w:val="24"/>
        </w:rPr>
        <w:t xml:space="preserve">    The rulemaking utilizes performance standards by requiring reasonable data security safeguards and age verification accuracy appropriate to the person’s scope of business rather than prescribing rigid hardware or design setups. </w:t>
      </w:r>
    </w:p>
    <w:p>
      <w:pPr>
        <w:spacing w:before="0" w:after="0" w:line="480"/>
        <w:ind w:left="120"/>
        <w:jc w:val="both"/>
      </w:pPr>
      <w:r>
        <w:rPr>
          <w:rFonts w:ascii="Times New Roman" w:hAnsi="Times New Roman"/>
          <w:b w:val="false"/>
          <w:i w:val="false"/>
          <w:color w:val="000000"/>
          <w:sz w:val="24"/>
        </w:rPr>
        <w:t xml:space="preserve">    Exempting small businesses would create a regulatory loophole permitting minors to access pornographic material on smaller platforms, directly conflicting with Iowa Code chapter 554J. </w:t>
      </w:r>
    </w:p>
    <w:p>
      <w:pPr>
        <w:spacing w:before="0" w:after="0" w:line="480"/>
        <w:ind w:left="120"/>
        <w:jc w:val="both"/>
      </w:pPr>
      <w:r>
        <w:rPr>
          <w:rFonts w:ascii="Times New Roman" w:hAnsi="Times New Roman"/>
          <w:b w:val="false"/>
          <w:i w:val="false"/>
          <w:color w:val="000000"/>
          <w:sz w:val="24"/>
        </w:rPr>
        <w:t>    The rulemaking accommodates smaller entities by allowing age verification methods that are “commercially reasonable given a person’s scope of business.” By approving multiple existing commercial methods (e.g., credit card checks or established third-party verification vendors) and utilizing performance standards for data security safeguards proportional to business scope, the rulemaking minimizes technical and financial friction for small businesses.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61—Chapter 40</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w:t>
      </w:r>
    </w:p>
    <w:p>
      <w:pPr>
        <w:spacing w:before="0" w:after="0" w:line="480"/>
        <w:ind w:left="120"/>
        <w:jc w:val="center"/>
      </w:pPr>
      <w:r>
        <w:rPr>
          <w:rFonts w:ascii="Times New Roman" w:hAnsi="Times New Roman"/>
          <w:b w:val="false"/>
          <w:i w:val="false"/>
          <w:color w:val="000000"/>
          <w:sz w:val="21"/>
        </w:rPr>
        <w:t>AGE VERIFICATION FOR INTERNET MATERIAL PORNOGRAPHIC FOR MINORS</w:t>
      </w:r>
    </w:p>
    <w:p>
      <w:pPr>
        <w:spacing w:before="210" w:after="0" w:line="480"/>
        <w:ind w:left="120"/>
        <w:jc w:val="both"/>
      </w:pPr>
      <w:r>
        <w:rPr>
          <w:rFonts w:ascii="Times New Roman" w:hAnsi="Times New Roman"/>
          <w:b/>
          <w:i w:val="false"/>
          <w:color w:val="000000"/>
          <w:sz w:val="24"/>
        </w:rPr>
        <w:t>61—40.1</w:t>
      </w:r>
      <w:r>
        <w:rPr>
          <w:rFonts w:ascii="Times New Roman" w:hAnsi="Times New Roman"/>
          <w:b/>
          <w:i w:val="false"/>
          <w:color w:val="000000"/>
          <w:sz w:val="24"/>
        </w:rPr>
        <w:t xml:space="preserve">(554J) </w:t>
      </w:r>
      <w:r>
        <w:rPr>
          <w:rFonts w:ascii="Times New Roman" w:hAnsi="Times New Roman"/>
          <w:b/>
          <w:i w:val="false"/>
          <w:color w:val="000000"/>
          <w:sz w:val="24"/>
        </w:rPr>
        <w:t xml:space="preserve">Purpose and scope. </w:t>
      </w:r>
      <w:r>
        <w:rPr>
          <w:rFonts w:ascii="Times New Roman" w:hAnsi="Times New Roman"/>
          <w:b w:val="false"/>
          <w:i w:val="false"/>
          <w:color w:val="000000"/>
          <w:sz w:val="24"/>
        </w:rPr>
        <w:t xml:space="preserve">This chapter implements Iowa Code chapter </w:t>
      </w:r>
      <w:hyperlink r:id="rId5">
        <w:r>
          <w:rPr>
            <w:rStyle w:val="Hyperlink"/>
            <w:rFonts w:ascii="Times New Roman" w:hAnsi="Times New Roman"/>
            <w:b w:val="false"/>
            <w:i w:val="false"/>
            <w:color w:val="000000"/>
            <w:sz w:val="24"/>
          </w:rPr>
          <w:t>554J</w:t>
        </w:r>
      </w:hyperlink>
      <w:r>
        <w:rPr>
          <w:rFonts w:ascii="Times New Roman" w:hAnsi="Times New Roman"/>
          <w:b w:val="false"/>
          <w:i w:val="false"/>
          <w:color w:val="000000"/>
          <w:sz w:val="24"/>
        </w:rPr>
        <w:t xml:space="preserve"> that requires any person operating an internet site, application, or segment thereof containing a substantial portion of material pornographic for minors to utilize reasonable age verification methods. These rules outline approved age verification methods, data security requirements, and the enforcement procedures and penalties administered by the attorney general.</w:t>
      </w:r>
    </w:p>
    <w:p>
      <w:pPr>
        <w:spacing w:before="0" w:after="0" w:line="480"/>
        <w:ind w:left="120"/>
        <w:jc w:val="both"/>
      </w:pPr>
      <w:r>
        <w:rPr>
          <w:rFonts w:ascii="Times New Roman" w:hAnsi="Times New Roman"/>
          <w:b/>
          <w:i w:val="false"/>
          <w:color w:val="000000"/>
          <w:sz w:val="24"/>
        </w:rPr>
        <w:t>61—40.2</w:t>
      </w:r>
      <w:r>
        <w:rPr>
          <w:rFonts w:ascii="Times New Roman" w:hAnsi="Times New Roman"/>
          <w:b/>
          <w:i w:val="false"/>
          <w:color w:val="000000"/>
          <w:sz w:val="24"/>
        </w:rPr>
        <w:t xml:space="preserve">(554J)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in Iowa Code section </w:t>
      </w:r>
      <w:hyperlink r:id="rId6">
        <w:r>
          <w:rPr>
            <w:rStyle w:val="Hyperlink"/>
            <w:rFonts w:ascii="Times New Roman" w:hAnsi="Times New Roman"/>
            <w:b w:val="false"/>
            <w:i w:val="false"/>
            <w:color w:val="000000"/>
            <w:sz w:val="24"/>
          </w:rPr>
          <w:t>554J.1</w:t>
        </w:r>
      </w:hyperlink>
      <w:r>
        <w:rPr>
          <w:rFonts w:ascii="Times New Roman" w:hAnsi="Times New Roman"/>
          <w:b w:val="false"/>
          <w:i w:val="false"/>
          <w:color w:val="000000"/>
          <w:sz w:val="24"/>
        </w:rPr>
        <w:t xml:space="preserve"> are incorporated herein by reference. In addition, for the purposes of this chapter: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“Attorney general”</w:t>
      </w:r>
      <w:r>
        <w:rPr>
          <w:rFonts w:ascii="Times New Roman" w:hAnsi="Times New Roman"/>
          <w:b w:val="false"/>
          <w:i/>
          <w:color w:val="000000"/>
          <w:sz w:val="24"/>
          <w:u w:val="single"/>
        </w:rPr>
        <w:t> </w:t>
      </w:r>
      <w:r>
        <w:rPr>
          <w:rFonts w:ascii="Times New Roman" w:hAnsi="Times New Roman"/>
          <w:b w:val="false"/>
          <w:i w:val="false"/>
          <w:color w:val="000000"/>
          <w:sz w:val="24"/>
        </w:rPr>
        <w:t>means the attorney general of the state of Iowa or the attorney general’s designated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Iowa department of justice, office of the attorney general.</w:t>
      </w:r>
    </w:p>
    <w:p>
      <w:pPr>
        <w:spacing w:before="0" w:after="0" w:line="480"/>
        <w:ind w:left="120"/>
        <w:jc w:val="both"/>
      </w:pPr>
      <w:r>
        <w:rPr>
          <w:rFonts w:ascii="Times New Roman" w:hAnsi="Times New Roman"/>
          <w:b/>
          <w:i w:val="false"/>
          <w:color w:val="000000"/>
          <w:sz w:val="24"/>
        </w:rPr>
        <w:t>61—40.3</w:t>
      </w:r>
      <w:r>
        <w:rPr>
          <w:rFonts w:ascii="Times New Roman" w:hAnsi="Times New Roman"/>
          <w:b/>
          <w:i w:val="false"/>
          <w:color w:val="000000"/>
          <w:sz w:val="24"/>
        </w:rPr>
        <w:t xml:space="preserve">(554J) </w:t>
      </w:r>
      <w:r>
        <w:rPr>
          <w:rFonts w:ascii="Times New Roman" w:hAnsi="Times New Roman"/>
          <w:b/>
          <w:i w:val="false"/>
          <w:color w:val="000000"/>
          <w:sz w:val="24"/>
        </w:rPr>
        <w:t xml:space="preserve">Approved methods of age verification. </w:t>
      </w:r>
      <w:r>
        <w:rPr>
          <w:rFonts w:ascii="Times New Roman" w:hAnsi="Times New Roman"/>
          <w:b w:val="false"/>
          <w:i w:val="false"/>
          <w:color w:val="000000"/>
          <w:sz w:val="24"/>
        </w:rPr>
        <w:t xml:space="preserve">Pursuant to Iowa Code section </w:t>
      </w:r>
      <w:hyperlink r:id="rId7">
        <w:r>
          <w:rPr>
            <w:rStyle w:val="Hyperlink"/>
            <w:rFonts w:ascii="Times New Roman" w:hAnsi="Times New Roman"/>
            <w:b w:val="false"/>
            <w:i w:val="false"/>
            <w:color w:val="000000"/>
            <w:sz w:val="24"/>
          </w:rPr>
          <w:t>554J.2(2)</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attorney general approves the following methods for performing reasonable age verification to prevent minors from accessing pornographic content: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40.3(1)</w:t>
      </w:r>
      <w:r>
        <w:rPr>
          <w:rFonts w:ascii="Times New Roman" w:hAnsi="Times New Roman"/>
          <w:b w:val="false"/>
          <w:i w:val="false"/>
          <w:color w:val="000000"/>
          <w:sz w:val="24"/>
        </w:rPr>
        <w:t> </w:t>
      </w:r>
      <w:r>
        <w:rPr>
          <w:rFonts w:ascii="Times New Roman" w:hAnsi="Times New Roman"/>
          <w:b w:val="false"/>
          <w:i w:val="false"/>
          <w:color w:val="000000"/>
          <w:sz w:val="24"/>
        </w:rPr>
        <w:t>Digital identification. Verification by requiring the individual to provide a valid, unexpired digital identification issued by a government entity (e.g., a digital driver’s license or mobile ID approved by the Iowa department of transportation or another state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40.3(2)</w:t>
      </w:r>
      <w:r>
        <w:rPr>
          <w:rFonts w:ascii="Times New Roman" w:hAnsi="Times New Roman"/>
          <w:b w:val="false"/>
          <w:i w:val="false"/>
          <w:color w:val="000000"/>
          <w:sz w:val="24"/>
        </w:rPr>
        <w:t> </w:t>
      </w:r>
      <w:r>
        <w:rPr>
          <w:rFonts w:ascii="Times New Roman" w:hAnsi="Times New Roman"/>
          <w:b w:val="false"/>
          <w:i w:val="false"/>
          <w:color w:val="000000"/>
          <w:sz w:val="24"/>
        </w:rPr>
        <w:t>Commercial transactional data. Any commercially reasonable method that relies on transactional data,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Credit card verification checks that charge a nominal, immediately voided/refunded fee to verify account validity.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Cross-referencing user-provided information against independent, third-party commercial databases (e.g., credit reporting agencies, public records databases) to verify that the individual is 18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w:t>
      </w:r>
      <w:r>
        <w:rPr>
          <w:rFonts w:ascii="Times New Roman" w:hAnsi="Times New Roman"/>
          <w:b w:val="false"/>
          <w:i w:val="false"/>
          <w:color w:val="000000"/>
          <w:sz w:val="24"/>
        </w:rPr>
        <w:t> </w:t>
      </w:r>
      <w:r>
        <w:rPr>
          <w:rFonts w:ascii="Times New Roman" w:hAnsi="Times New Roman"/>
          <w:b w:val="false"/>
          <w:i w:val="false"/>
          <w:color w:val="000000"/>
          <w:sz w:val="24"/>
        </w:rPr>
        <w:t>Emerging technological methods. Any independent, third-party age estimation or verification technology (e.g., secure facial age estimation software) that meets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Demonstrates a high degree of technical accuracy within the industry.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Does not retain biometric or identifying information after the verification process is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Has been reviewed and explicitly listed as an approved system on the official website of the Iowa attorney general.</w:t>
      </w:r>
    </w:p>
    <w:p>
      <w:pPr>
        <w:spacing w:before="0" w:after="0" w:line="480"/>
        <w:ind w:left="120"/>
        <w:jc w:val="both"/>
      </w:pPr>
      <w:r>
        <w:rPr>
          <w:rFonts w:ascii="Times New Roman" w:hAnsi="Times New Roman"/>
          <w:b/>
          <w:i w:val="false"/>
          <w:color w:val="000000"/>
          <w:sz w:val="24"/>
        </w:rPr>
        <w:t>61—40.4</w:t>
      </w:r>
      <w:r>
        <w:rPr>
          <w:rFonts w:ascii="Times New Roman" w:hAnsi="Times New Roman"/>
          <w:b/>
          <w:i w:val="false"/>
          <w:color w:val="000000"/>
          <w:sz w:val="24"/>
        </w:rPr>
        <w:t xml:space="preserve">(554J) </w:t>
      </w:r>
      <w:r>
        <w:rPr>
          <w:rFonts w:ascii="Times New Roman" w:hAnsi="Times New Roman"/>
          <w:b/>
          <w:i w:val="false"/>
          <w:color w:val="000000"/>
          <w:sz w:val="24"/>
        </w:rPr>
        <w:t xml:space="preserve">Data privacy, security, and retention limits.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w:t>
      </w:r>
      <w:r>
        <w:rPr>
          <w:rFonts w:ascii="Times New Roman" w:hAnsi="Times New Roman"/>
          <w:b w:val="false"/>
          <w:i w:val="false"/>
          <w:color w:val="000000"/>
          <w:sz w:val="24"/>
        </w:rPr>
        <w:t> </w:t>
      </w:r>
      <w:r>
        <w:rPr>
          <w:rFonts w:ascii="Times New Roman" w:hAnsi="Times New Roman"/>
          <w:b w:val="false"/>
          <w:i/>
          <w:color w:val="000000"/>
          <w:sz w:val="24"/>
        </w:rPr>
        <w:t xml:space="preserve">Retention and sale prohibited. </w:t>
      </w:r>
      <w:r>
        <w:rPr>
          <w:rFonts w:ascii="Times New Roman" w:hAnsi="Times New Roman"/>
          <w:b w:val="false"/>
          <w:i w:val="false"/>
          <w:color w:val="000000"/>
          <w:sz w:val="24"/>
        </w:rPr>
        <w:t>Any person or third-party contractor performing age verification under this chapter shall not retain, sell, lease, or otherwise disseminate any identifying information of an individual subject to verification unless explicitly required by a valid law or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40.4(2)</w:t>
      </w:r>
      <w:r>
        <w:rPr>
          <w:rFonts w:ascii="Times New Roman" w:hAnsi="Times New Roman"/>
          <w:b w:val="false"/>
          <w:i w:val="false"/>
          <w:color w:val="000000"/>
          <w:sz w:val="24"/>
        </w:rPr>
        <w:t> </w:t>
      </w:r>
      <w:r>
        <w:rPr>
          <w:rFonts w:ascii="Times New Roman" w:hAnsi="Times New Roman"/>
          <w:b w:val="false"/>
          <w:i/>
          <w:color w:val="000000"/>
          <w:sz w:val="24"/>
        </w:rPr>
        <w:t xml:space="preserve">Immediate deletion. </w:t>
      </w:r>
      <w:r>
        <w:rPr>
          <w:rFonts w:ascii="Times New Roman" w:hAnsi="Times New Roman"/>
          <w:b w:val="false"/>
          <w:i w:val="false"/>
          <w:color w:val="000000"/>
          <w:sz w:val="24"/>
        </w:rPr>
        <w:t>All personal identifying information, transactional history, or biometric data collected solely for the purpose of verifying age must be permanently deleted immediately upon successful completion of the verification session.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40.4(3)</w:t>
      </w:r>
      <w:r>
        <w:rPr>
          <w:rFonts w:ascii="Times New Roman" w:hAnsi="Times New Roman"/>
          <w:b w:val="false"/>
          <w:i w:val="false"/>
          <w:color w:val="000000"/>
          <w:sz w:val="24"/>
        </w:rPr>
        <w:t> </w:t>
      </w:r>
      <w:r>
        <w:rPr>
          <w:rFonts w:ascii="Times New Roman" w:hAnsi="Times New Roman"/>
          <w:b w:val="false"/>
          <w:i/>
          <w:color w:val="000000"/>
          <w:sz w:val="24"/>
        </w:rPr>
        <w:t xml:space="preserve">Data security standards. </w:t>
      </w:r>
      <w:r>
        <w:rPr>
          <w:rFonts w:ascii="Times New Roman" w:hAnsi="Times New Roman"/>
          <w:b w:val="false"/>
          <w:i w:val="false"/>
          <w:color w:val="000000"/>
          <w:sz w:val="24"/>
        </w:rPr>
        <w:t xml:space="preserve">To comply with Iowa Code section </w:t>
      </w:r>
      <w:hyperlink r:id="rId8">
        <w:r>
          <w:rPr>
            <w:rStyle w:val="Hyperlink"/>
            <w:rFonts w:ascii="Times New Roman" w:hAnsi="Times New Roman"/>
            <w:b w:val="false"/>
            <w:i w:val="false"/>
            <w:color w:val="000000"/>
            <w:sz w:val="24"/>
          </w:rPr>
          <w:t>554J.2(4)</w:t>
        </w:r>
      </w:hyperlink>
      <w:r>
        <w:rPr>
          <w:rFonts w:ascii="Times New Roman" w:hAnsi="Times New Roman"/>
          <w:b w:val="false"/>
          <w:i w:val="false"/>
          <w:color w:val="000000"/>
          <w:sz w:val="24"/>
        </w:rPr>
        <w:t xml:space="preserve">, entities must implement reasonable administrative, technical, and physical safeguards appropriate to their scope of business. That includes, at minimum: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Encryption of all verification data during transmission and brief storage using industry-standard protocols.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Regular vulnerability assessments of the verification pipeline.</w:t>
      </w:r>
    </w:p>
    <w:p>
      <w:pPr>
        <w:spacing w:before="0" w:after="0" w:line="480"/>
        <w:ind w:left="120"/>
        <w:jc w:val="both"/>
      </w:pPr>
      <w:r>
        <w:rPr>
          <w:rFonts w:ascii="Times New Roman" w:hAnsi="Times New Roman"/>
          <w:b/>
          <w:i w:val="false"/>
          <w:color w:val="000000"/>
          <w:sz w:val="24"/>
        </w:rPr>
        <w:t>61—40.5</w:t>
      </w:r>
      <w:r>
        <w:rPr>
          <w:rFonts w:ascii="Times New Roman" w:hAnsi="Times New Roman"/>
          <w:b/>
          <w:i w:val="false"/>
          <w:color w:val="000000"/>
          <w:sz w:val="24"/>
        </w:rPr>
        <w:t xml:space="preserve">(554J) </w:t>
      </w:r>
      <w:r>
        <w:rPr>
          <w:rFonts w:ascii="Times New Roman" w:hAnsi="Times New Roman"/>
          <w:b/>
          <w:i w:val="false"/>
          <w:color w:val="000000"/>
          <w:sz w:val="24"/>
        </w:rPr>
        <w:t xml:space="preserve">Complaints, investigations, and injunctions.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40.5(1)</w:t>
      </w:r>
      <w:r>
        <w:rPr>
          <w:rFonts w:ascii="Times New Roman" w:hAnsi="Times New Roman"/>
          <w:b w:val="false"/>
          <w:i w:val="false"/>
          <w:color w:val="000000"/>
          <w:sz w:val="24"/>
        </w:rPr>
        <w:t> </w:t>
      </w:r>
      <w:r>
        <w:rPr>
          <w:rFonts w:ascii="Times New Roman" w:hAnsi="Times New Roman"/>
          <w:b w:val="false"/>
          <w:i/>
          <w:color w:val="000000"/>
          <w:sz w:val="24"/>
        </w:rPr>
        <w:t xml:space="preserve">Complaint filing. </w:t>
      </w:r>
      <w:r>
        <w:rPr>
          <w:rFonts w:ascii="Times New Roman" w:hAnsi="Times New Roman"/>
          <w:b w:val="false"/>
          <w:i w:val="false"/>
          <w:color w:val="000000"/>
          <w:sz w:val="24"/>
        </w:rPr>
        <w:t xml:space="preserve">Any resident of the state of Iowa may file a written complaint with the consumer protection division of the department alleging that an internet site or application is operating in violation of Iowa Code chapter </w:t>
      </w:r>
      <w:hyperlink r:id="rId9">
        <w:r>
          <w:rPr>
            <w:rStyle w:val="Hyperlink"/>
            <w:rFonts w:ascii="Times New Roman" w:hAnsi="Times New Roman"/>
            <w:b w:val="false"/>
            <w:i w:val="false"/>
            <w:color w:val="000000"/>
            <w:sz w:val="24"/>
          </w:rPr>
          <w:t>554J</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w:t>
      </w:r>
      <w:r>
        <w:rPr>
          <w:rFonts w:ascii="Times New Roman" w:hAnsi="Times New Roman"/>
          <w:b w:val="false"/>
          <w:i w:val="false"/>
          <w:color w:val="000000"/>
          <w:sz w:val="24"/>
        </w:rPr>
        <w:t> </w:t>
      </w:r>
      <w:r>
        <w:rPr>
          <w:rFonts w:ascii="Times New Roman" w:hAnsi="Times New Roman"/>
          <w:b w:val="false"/>
          <w:i/>
          <w:color w:val="000000"/>
          <w:sz w:val="24"/>
        </w:rPr>
        <w:t xml:space="preserve">Civil investigative demands (CIDs). </w:t>
      </w:r>
      <w:r>
        <w:rPr>
          <w:rFonts w:ascii="Times New Roman" w:hAnsi="Times New Roman"/>
          <w:b w:val="false"/>
          <w:i w:val="false"/>
          <w:color w:val="000000"/>
          <w:sz w:val="24"/>
        </w:rPr>
        <w:t xml:space="preserve">To investigate suspected violations, the attorney general may issue CIDs requiring the production of relevant data, traffic metrics, and documentation of age verification protocols.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40.5(3)</w:t>
      </w:r>
      <w:r>
        <w:rPr>
          <w:rFonts w:ascii="Times New Roman" w:hAnsi="Times New Roman"/>
          <w:b w:val="false"/>
          <w:i w:val="false"/>
          <w:color w:val="000000"/>
          <w:sz w:val="24"/>
        </w:rPr>
        <w:t> </w:t>
      </w:r>
      <w:r>
        <w:rPr>
          <w:rFonts w:ascii="Times New Roman" w:hAnsi="Times New Roman"/>
          <w:b w:val="false"/>
          <w:i/>
          <w:color w:val="000000"/>
          <w:sz w:val="24"/>
        </w:rPr>
        <w:t xml:space="preserve">Injunctions. </w:t>
      </w:r>
      <w:r>
        <w:rPr>
          <w:rFonts w:ascii="Times New Roman" w:hAnsi="Times New Roman"/>
          <w:b w:val="false"/>
          <w:i w:val="false"/>
          <w:color w:val="000000"/>
          <w:sz w:val="24"/>
        </w:rPr>
        <w:t xml:space="preserve">If the attorney general determines a person is in violation of Iowa Code chapter </w:t>
      </w:r>
      <w:hyperlink r:id="rId10">
        <w:r>
          <w:rPr>
            <w:rStyle w:val="Hyperlink"/>
            <w:rFonts w:ascii="Times New Roman" w:hAnsi="Times New Roman"/>
            <w:b w:val="false"/>
            <w:i w:val="false"/>
            <w:color w:val="000000"/>
            <w:sz w:val="24"/>
          </w:rPr>
          <w:t>554J</w:t>
        </w:r>
      </w:hyperlink>
      <w:r>
        <w:rPr>
          <w:rFonts w:ascii="Times New Roman" w:hAnsi="Times New Roman"/>
          <w:b w:val="false"/>
          <w:i w:val="false"/>
          <w:color w:val="000000"/>
          <w:sz w:val="24"/>
        </w:rPr>
        <w:t>, the attorney general may initiate a civil action in district court to seek a temporary restraining order, preliminary injunction, or permanent injunction to cease the operation of the noncompliant platform within Iowa.</w:t>
      </w:r>
    </w:p>
    <w:p>
      <w:pPr>
        <w:spacing w:before="0" w:after="0" w:line="480"/>
        <w:ind w:left="120"/>
        <w:jc w:val="both"/>
      </w:pPr>
      <w:r>
        <w:rPr>
          <w:rFonts w:ascii="Times New Roman" w:hAnsi="Times New Roman"/>
          <w:b/>
          <w:i w:val="false"/>
          <w:color w:val="000000"/>
          <w:sz w:val="24"/>
        </w:rPr>
        <w:t>61—40.6</w:t>
      </w:r>
      <w:r>
        <w:rPr>
          <w:rFonts w:ascii="Times New Roman" w:hAnsi="Times New Roman"/>
          <w:b/>
          <w:i w:val="false"/>
          <w:color w:val="000000"/>
          <w:sz w:val="24"/>
        </w:rPr>
        <w:t xml:space="preserve">(554J) </w:t>
      </w:r>
      <w:r>
        <w:rPr>
          <w:rFonts w:ascii="Times New Roman" w:hAnsi="Times New Roman"/>
          <w:b/>
          <w:i w:val="false"/>
          <w:color w:val="000000"/>
          <w:sz w:val="24"/>
        </w:rPr>
        <w:t xml:space="preserve">Civil penalties and enforcement.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40.6(1)</w:t>
      </w:r>
      <w:r>
        <w:rPr>
          <w:rFonts w:ascii="Times New Roman" w:hAnsi="Times New Roman"/>
          <w:b w:val="false"/>
          <w:i w:val="false"/>
          <w:color w:val="000000"/>
          <w:sz w:val="24"/>
        </w:rPr>
        <w:t> </w:t>
      </w:r>
      <w:r>
        <w:rPr>
          <w:rFonts w:ascii="Times New Roman" w:hAnsi="Times New Roman"/>
          <w:b w:val="false"/>
          <w:i/>
          <w:color w:val="000000"/>
          <w:sz w:val="24"/>
        </w:rPr>
        <w:t xml:space="preserve">Penalty structure. </w:t>
      </w:r>
      <w:r>
        <w:rPr>
          <w:rFonts w:ascii="Times New Roman" w:hAnsi="Times New Roman"/>
          <w:b w:val="false"/>
          <w:i w:val="false"/>
          <w:color w:val="000000"/>
          <w:sz w:val="24"/>
        </w:rPr>
        <w:t xml:space="preserve">A violation of Iowa Code chapter </w:t>
      </w:r>
      <w:hyperlink r:id="rId11">
        <w:r>
          <w:rPr>
            <w:rStyle w:val="Hyperlink"/>
            <w:rFonts w:ascii="Times New Roman" w:hAnsi="Times New Roman"/>
            <w:b w:val="false"/>
            <w:i w:val="false"/>
            <w:color w:val="000000"/>
            <w:sz w:val="24"/>
          </w:rPr>
          <w:t>554J</w:t>
        </w:r>
      </w:hyperlink>
      <w:r>
        <w:rPr>
          <w:rFonts w:ascii="Times New Roman" w:hAnsi="Times New Roman"/>
          <w:b w:val="false"/>
          <w:i w:val="false"/>
          <w:color w:val="000000"/>
          <w:sz w:val="24"/>
        </w:rPr>
        <w:t xml:space="preserve"> shall be punishable by a civil penalty of up to $1,000 per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40.6(2)</w:t>
      </w:r>
      <w:r>
        <w:rPr>
          <w:rFonts w:ascii="Times New Roman" w:hAnsi="Times New Roman"/>
          <w:b w:val="false"/>
          <w:i w:val="false"/>
          <w:color w:val="000000"/>
          <w:sz w:val="24"/>
        </w:rPr>
        <w:t> </w:t>
      </w:r>
      <w:r>
        <w:rPr>
          <w:rFonts w:ascii="Times New Roman" w:hAnsi="Times New Roman"/>
          <w:b w:val="false"/>
          <w:i/>
          <w:color w:val="000000"/>
          <w:sz w:val="24"/>
        </w:rPr>
        <w:t xml:space="preserve">Separate violations. </w:t>
      </w:r>
      <w:r>
        <w:rPr>
          <w:rFonts w:ascii="Times New Roman" w:hAnsi="Times New Roman"/>
          <w:b w:val="false"/>
          <w:i w:val="false"/>
          <w:color w:val="000000"/>
          <w:sz w:val="24"/>
        </w:rPr>
        <w:t xml:space="preserve">Each distinct instance in which an individual successfully accesses an internet site or application that is not in compliance with Iowa Code chapter </w:t>
      </w:r>
      <w:hyperlink r:id="rId12">
        <w:r>
          <w:rPr>
            <w:rStyle w:val="Hyperlink"/>
            <w:rFonts w:ascii="Times New Roman" w:hAnsi="Times New Roman"/>
            <w:b w:val="false"/>
            <w:i w:val="false"/>
            <w:color w:val="000000"/>
            <w:sz w:val="24"/>
          </w:rPr>
          <w:t>554J</w:t>
        </w:r>
      </w:hyperlink>
      <w:r>
        <w:rPr>
          <w:rFonts w:ascii="Times New Roman" w:hAnsi="Times New Roman"/>
          <w:b w:val="false"/>
          <w:i w:val="false"/>
          <w:color w:val="000000"/>
          <w:sz w:val="24"/>
        </w:rPr>
        <w:t xml:space="preserve"> is a separate and independent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40.6(3)</w:t>
      </w:r>
      <w:r>
        <w:rPr>
          <w:rFonts w:ascii="Times New Roman" w:hAnsi="Times New Roman"/>
          <w:b w:val="false"/>
          <w:i w:val="false"/>
          <w:color w:val="000000"/>
          <w:sz w:val="24"/>
        </w:rPr>
        <w:t> </w:t>
      </w:r>
      <w:r>
        <w:rPr>
          <w:rFonts w:ascii="Times New Roman" w:hAnsi="Times New Roman"/>
          <w:b w:val="false"/>
          <w:i/>
          <w:color w:val="000000"/>
          <w:sz w:val="24"/>
        </w:rPr>
        <w:t xml:space="preserve">Daily cap. </w:t>
      </w:r>
      <w:r>
        <w:rPr>
          <w:rFonts w:ascii="Times New Roman" w:hAnsi="Times New Roman"/>
          <w:b w:val="false"/>
          <w:i w:val="false"/>
          <w:color w:val="000000"/>
          <w:sz w:val="24"/>
        </w:rPr>
        <w:t>Civil penalties assessed against a single person or entity shall not accrue to more than $10,000 in a single calendar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40.6(4)</w:t>
      </w:r>
      <w:r>
        <w:rPr>
          <w:rFonts w:ascii="Times New Roman" w:hAnsi="Times New Roman"/>
          <w:b w:val="false"/>
          <w:i w:val="false"/>
          <w:color w:val="000000"/>
          <w:sz w:val="24"/>
        </w:rPr>
        <w:t> </w:t>
      </w:r>
      <w:r>
        <w:rPr>
          <w:rFonts w:ascii="Times New Roman" w:hAnsi="Times New Roman"/>
          <w:b w:val="false"/>
          <w:i/>
          <w:color w:val="000000"/>
          <w:sz w:val="24"/>
        </w:rPr>
        <w:t xml:space="preserve">Deposit of funds. </w:t>
      </w:r>
      <w:r>
        <w:rPr>
          <w:rFonts w:ascii="Times New Roman" w:hAnsi="Times New Roman"/>
          <w:b w:val="false"/>
          <w:i w:val="false"/>
          <w:color w:val="000000"/>
          <w:sz w:val="24"/>
        </w:rPr>
        <w:t>All civil penalties collected via settlement or court order under this chapter shall be deposited directly into the general fund of the state of Iowa.</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3">
        <w:r>
          <w:rPr>
            <w:rStyle w:val="Hyperlink"/>
            <w:rFonts w:ascii="Times New Roman" w:hAnsi="Times New Roman"/>
            <w:b w:val="false"/>
            <w:i w:val="false"/>
            <w:color w:val="000000"/>
            <w:sz w:val="24"/>
          </w:rPr>
          <w:t>554J</w:t>
        </w:r>
      </w:hyperlink>
      <w:r>
        <w:rPr>
          <w:rFonts w:ascii="Times New Roman" w:hAnsi="Times New Roman"/>
          <w:b w:val="false"/>
          <w:i w:val="false"/>
          <w:color w:val="000000"/>
          <w:sz w:val="24"/>
        </w:rPr>
        <w:t>.</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dan.breitbarth@ag.iowa.gov" Type="http://schemas.openxmlformats.org/officeDocument/2006/relationships/hyperlink" Id="rId4"/>
    <Relationship TargetMode="External" Target="https://www.legis.iowa.gov/docs/ico/chapter/554J.pdf" Type="http://schemas.openxmlformats.org/officeDocument/2006/relationships/hyperlink" Id="rId5"/>
    <Relationship TargetMode="External" Target="https://www.legis.iowa.gov/docs/ico/chapter/554J.1.pdf" Type="http://schemas.openxmlformats.org/officeDocument/2006/relationships/hyperlink" Id="rId6"/>
    <Relationship TargetMode="External" Target="https://www.legis.iowa.gov/docs/ico/chapter/554J.2.pdf" Type="http://schemas.openxmlformats.org/officeDocument/2006/relationships/hyperlink" Id="rId7"/>
    <Relationship TargetMode="External" Target="https://www.legis.iowa.gov/docs/ico/chapter/554J.2.pdf" Type="http://schemas.openxmlformats.org/officeDocument/2006/relationships/hyperlink" Id="rId8"/>
    <Relationship TargetMode="External" Target="https://www.legis.iowa.gov/docs/ico/chapter/554J.pdf" Type="http://schemas.openxmlformats.org/officeDocument/2006/relationships/hyperlink" Id="rId9"/>
    <Relationship TargetMode="External" Target="https://www.legis.iowa.gov/docs/ico/chapter/554J.pdf" Type="http://schemas.openxmlformats.org/officeDocument/2006/relationships/hyperlink" Id="rId10"/>
    <Relationship TargetMode="External" Target="https://www.legis.iowa.gov/docs/ico/chapter/554J.pdf" Type="http://schemas.openxmlformats.org/officeDocument/2006/relationships/hyperlink" Id="rId11"/>
    <Relationship TargetMode="External" Target="https://www.legis.iowa.gov/docs/ico/chapter/554J.pdf" Type="http://schemas.openxmlformats.org/officeDocument/2006/relationships/hyperlink" Id="rId12"/>
    <Relationship TargetMode="External" Target="https://www.legis.iowa.gov/docs/ico/chapter/554J.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